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cs="Arial"/>
          <w:b/>
          <w:bCs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bCs/>
          <w:color w:val="000000"/>
          <w:sz w:val="22"/>
          <w:szCs w:val="22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bCs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bCs/>
          <w:color w:val="000000"/>
          <w:sz w:val="22"/>
          <w:szCs w:val="22"/>
          <w:u w:val="single"/>
        </w:rPr>
        <w:t>TERMO DE REFERÊNCIA – LEI 14.133/21  de 01 de abril de 2021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bCs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bCs/>
          <w:color w:val="000000"/>
          <w:sz w:val="22"/>
          <w:szCs w:val="22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2"/>
          <w:szCs w:val="22"/>
          <w:lang w:val="pt-BR" w:eastAsia="pt-BR" w:bidi="ar-SA"/>
        </w:rPr>
        <w:t xml:space="preserve">CONTRATAÇÃO DE EMPRESA  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2"/>
          <w:szCs w:val="22"/>
          <w:u w:val="none"/>
          <w:lang w:val="pt-BR" w:eastAsia="pt-BR" w:bidi="ar-SA"/>
        </w:rPr>
        <w:t xml:space="preserve"> ESPECIALIZADA PARA SERVIÇOS DE AFERIÇÃO E MANUTENÇÃO DE TACÓGRAFOS</w:t>
      </w:r>
    </w:p>
    <w:p>
      <w:pPr>
        <w:pStyle w:val="Normal"/>
        <w:spacing w:lineRule="auto" w:line="276"/>
        <w:jc w:val="center"/>
        <w:rPr>
          <w:rFonts w:ascii="Verdana" w:hAnsi="Verdana" w:eastAsia="Times New Roman" w:cs="Arial"/>
          <w:b/>
          <w:bCs/>
          <w:iCs/>
          <w:color w:val="000000"/>
          <w:kern w:val="0"/>
          <w:sz w:val="22"/>
          <w:szCs w:val="22"/>
          <w:u w:val="none"/>
          <w:lang w:val="pt-BR" w:eastAsia="pt-BR" w:bidi="ar-SA"/>
        </w:rPr>
      </w:pPr>
      <w:r>
        <w:rPr>
          <w:rFonts w:eastAsia="Times New Roman" w:cs="Arial" w:ascii="Verdana" w:hAnsi="Verdana"/>
          <w:b/>
          <w:bCs/>
          <w:iCs/>
          <w:color w:val="000000"/>
          <w:kern w:val="0"/>
          <w:sz w:val="22"/>
          <w:szCs w:val="22"/>
          <w:u w:val="none"/>
          <w:lang w:val="pt-BR" w:eastAsia="pt-BR" w:bidi="ar-SA"/>
        </w:rPr>
      </w:r>
    </w:p>
    <w:p>
      <w:pPr>
        <w:pStyle w:val="Normal"/>
        <w:spacing w:lineRule="auto" w:line="276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2"/>
          <w:szCs w:val="22"/>
        </w:rPr>
        <w:t>00</w:t>
      </w: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2"/>
          <w:szCs w:val="22"/>
          <w:lang w:val="pt-BR" w:eastAsia="pt-BR" w:bidi="ar-SA"/>
        </w:rPr>
        <w:t>2625</w:t>
      </w: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>/2025 de 04 de abril de 2025 (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2"/>
          <w:szCs w:val="22"/>
          <w:lang w:val="pt-BR" w:eastAsia="pt-BR" w:bidi="ar-SA"/>
        </w:rPr>
        <w:t>Secretaria Municipal de Educação</w:t>
      </w: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>)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bCs/>
          <w:iCs/>
          <w:color w:val="000000"/>
          <w:sz w:val="22"/>
          <w:szCs w:val="22"/>
        </w:rPr>
      </w:pPr>
      <w:r>
        <w:rPr>
          <w:rFonts w:cs="Arial" w:ascii="Verdana" w:hAnsi="Verdana"/>
          <w:b/>
          <w:bCs/>
          <w:iCs/>
          <w:color w:val="000000"/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1. DAS CONDIÇÕES GERAIS DA CONTRATAÇÃO </w:t>
      </w:r>
    </w:p>
    <w:p>
      <w:pPr>
        <w:pStyle w:val="Normal"/>
        <w:tabs>
          <w:tab w:val="clear" w:pos="708"/>
          <w:tab w:val="left" w:pos="567" w:leader="none"/>
        </w:tabs>
        <w:spacing w:lineRule="auto" w:line="360"/>
        <w:ind w:hanging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1.1. </w:t>
      </w:r>
      <w:r>
        <w:rPr>
          <w:rFonts w:ascii="Verdana" w:hAnsi="Verdana"/>
          <w:sz w:val="22"/>
          <w:szCs w:val="22"/>
        </w:rPr>
        <w:t xml:space="preserve">Contratação de empresa especializada </w:t>
      </w:r>
      <w:r>
        <w:rPr>
          <w:rFonts w:eastAsia="Times New Roman" w:cs="Times New Roman" w:ascii="Verdana" w:hAnsi="Verdana"/>
          <w:color w:val="auto"/>
          <w:kern w:val="0"/>
          <w:sz w:val="22"/>
          <w:szCs w:val="22"/>
          <w:lang w:val="pt-BR" w:eastAsia="pt-BR" w:bidi="ar-SA"/>
        </w:rPr>
        <w:t xml:space="preserve">em prestação de serviços de aferição e manutenção de tacógrafos, com fornecimento de peças (se necessário) para a manutenção de tacógrafos dos veículos da frota da Secretaria Municipal de Educação, para a obtenção do Certificado de Verificação, válido por 02 (dois) anos, </w:t>
      </w:r>
      <w:r>
        <w:rPr>
          <w:rFonts w:ascii="Verdana" w:hAnsi="Verdana"/>
          <w:sz w:val="22"/>
          <w:szCs w:val="22"/>
        </w:rPr>
        <w:t>conforme condições e exigências estabelecidas neste instrumento e no ETP elaborado pela requente.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tbl>
      <w:tblPr>
        <w:tblW w:w="9582" w:type="dxa"/>
        <w:jc w:val="left"/>
        <w:tblInd w:w="1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688"/>
        <w:gridCol w:w="724"/>
        <w:gridCol w:w="1076"/>
        <w:gridCol w:w="1589"/>
        <w:gridCol w:w="1657"/>
      </w:tblGrid>
      <w:tr>
        <w:trPr/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1"/>
                <w:szCs w:val="21"/>
                <w:lang w:val="pt-BR" w:eastAsia="pt-BR" w:bidi="ar-SA"/>
              </w:rPr>
              <w:t>LOTE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b/>
                <w:bCs/>
                <w:sz w:val="21"/>
                <w:szCs w:val="21"/>
              </w:rPr>
              <w:t>ESPECIFICAÇÃO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b/>
                <w:bCs/>
                <w:sz w:val="21"/>
                <w:szCs w:val="21"/>
              </w:rPr>
              <w:t>UND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1"/>
                <w:szCs w:val="21"/>
                <w:lang w:val="pt-BR" w:eastAsia="pt-BR" w:bidi="ar-SA"/>
              </w:rPr>
              <w:t>QUANT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b/>
                <w:bCs/>
                <w:sz w:val="21"/>
                <w:szCs w:val="21"/>
              </w:rPr>
              <w:t>VALOR ESTIMADO UNITÁRIO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b/>
                <w:bCs/>
                <w:sz w:val="21"/>
                <w:szCs w:val="21"/>
              </w:rPr>
              <w:t>VALOR  ESTIMADO TOTAL</w:t>
            </w:r>
          </w:p>
        </w:tc>
      </w:tr>
      <w:tr>
        <w:trPr/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01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Prestação de serviços de aferição de tacógrafo vdo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Serv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60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R$ 339,08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R$ 20.344,80</w:t>
            </w:r>
          </w:p>
        </w:tc>
      </w:tr>
      <w:tr>
        <w:trPr/>
        <w:tc>
          <w:tcPr>
            <w:tcW w:w="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Prestação de serviços de aferição de tacógrafo seva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Ser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30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R$ 339,08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R$ 10.172,40</w:t>
            </w:r>
          </w:p>
        </w:tc>
      </w:tr>
      <w:tr>
        <w:trPr/>
        <w:tc>
          <w:tcPr>
            <w:tcW w:w="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Prestação de serviços de manutenção de tacógrafo vdo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Serv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60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R$ 132,00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R$ 7.920,00</w:t>
            </w:r>
          </w:p>
        </w:tc>
      </w:tr>
      <w:tr>
        <w:trPr/>
        <w:tc>
          <w:tcPr>
            <w:tcW w:w="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Prestação de serviços de manutenção de tacógrafo seva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Serv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30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R$ 132,00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R$ 3.960,00</w:t>
            </w:r>
          </w:p>
        </w:tc>
      </w:tr>
      <w:tr>
        <w:trPr/>
        <w:tc>
          <w:tcPr>
            <w:tcW w:w="84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02</w:t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Magnético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Pç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R$ 210,27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R$ 1.051,35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Agulha de velocidade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R$ 90,09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R$ 450,45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Agulha de distância e tempo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R$ 90,00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R$ 450,00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Eixo de transição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R$ 35,20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R$ 176,00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Platina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R$ 156,40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R$ 782,00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Agulha de tempo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R$ 90,09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R$ 450,45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Agulha de distância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R$ 90,09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R$ 450,45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Imã de relógio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R$ 52,15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R$ 260,75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Tampa conexão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Pç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R$ 15,00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R$ 75,00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Sensor de velocidade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Pç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R$ 472,65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R$ 2.363,25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Garfo (peça tacógrafo)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R$ 14,27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R$ 71,35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1"/>
                <w:szCs w:val="21"/>
                <w:lang w:val="pt-BR" w:eastAsia="zh-CN" w:bidi="ar-SA"/>
              </w:rPr>
              <w:t>Lacre reparo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90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R$ 7,00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R$ 630,00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Kit conversão gaveta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R$ 27,00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R$ 135,00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Bobina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90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R$ 49,80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R$ 4.482,00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Guarda pó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Pç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R$ 20,59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R$ 102,95</w:t>
            </w:r>
          </w:p>
        </w:tc>
      </w:tr>
      <w:tr>
        <w:trPr>
          <w:trHeight w:val="217" w:hRule="atLeast"/>
        </w:trPr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Porca (peça tacógrafo)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R$ 9,50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R$ 47,50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Conjunto transmissão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R$ 149,07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R$ 745,35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Conjunto contato alarme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R$ 122,94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R$ 614,70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Display tacógrafo digital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R$ 525,55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R$ 2.627,75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Impressora para tacógrafo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R$ 557,20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R$ 2.786,00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Tacógrafo eletrônico 1390  diário 24v completo e novo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Pç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R$ 3.124,23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R$ 3.124,23</w:t>
            </w:r>
          </w:p>
        </w:tc>
      </w:tr>
      <w:tr>
        <w:trPr/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Odômetro 1318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R$ 180,00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R$ 900,00</w:t>
            </w:r>
          </w:p>
        </w:tc>
      </w:tr>
      <w:tr>
        <w:trPr>
          <w:trHeight w:val="111" w:hRule="atLeast"/>
        </w:trPr>
        <w:tc>
          <w:tcPr>
            <w:tcW w:w="8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both"/>
              <w:rPr>
                <w:rFonts w:ascii="Verdana" w:hAnsi="Verdana"/>
                <w:sz w:val="21"/>
                <w:szCs w:val="21"/>
                <w:highlight w:val="none"/>
                <w:shd w:fill="auto" w:val="clear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Relógio 1318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Und</w:t>
            </w:r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R$ 374,53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right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>R$ 1.872,65</w:t>
            </w:r>
          </w:p>
        </w:tc>
      </w:tr>
      <w:tr>
        <w:trPr>
          <w:trHeight w:val="721" w:hRule="atLeast"/>
        </w:trPr>
        <w:tc>
          <w:tcPr>
            <w:tcW w:w="958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  <w:shd w:fill="auto" w:val="clear"/>
              </w:rPr>
              <w:t xml:space="preserve">VALOR TOTAL ESTIMADO: </w:t>
            </w:r>
            <w:r>
              <w:rPr>
                <w:rFonts w:ascii="Verdana" w:hAnsi="Verdana"/>
                <w:b/>
                <w:bCs/>
                <w:sz w:val="21"/>
                <w:szCs w:val="21"/>
                <w:shd w:fill="auto" w:val="clear"/>
              </w:rPr>
              <w:t>R$ 79.543,30</w:t>
            </w:r>
            <w:r>
              <w:rPr>
                <w:rFonts w:ascii="Verdana" w:hAnsi="Verdana"/>
                <w:sz w:val="21"/>
                <w:szCs w:val="21"/>
                <w:shd w:fill="auto" w:val="clear"/>
              </w:rPr>
              <w:t xml:space="preserve"> (setenta e nove mil quinhentos e quarenta e três reais e trinta centavos)</w:t>
            </w:r>
          </w:p>
        </w:tc>
      </w:tr>
    </w:tbl>
    <w:p>
      <w:pPr>
        <w:pStyle w:val="Normal"/>
        <w:widowControl w:val="false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1.2. O prazo de vigência da contratação será de 60 (sessenta) meses contados do(a) </w:t>
      </w:r>
      <w:r>
        <w:rPr>
          <w:rFonts w:cs="Arial" w:ascii="Verdana" w:hAnsi="Verdana"/>
          <w:bCs/>
          <w:iCs/>
          <w:color w:val="000000"/>
          <w:sz w:val="20"/>
          <w:szCs w:val="20"/>
        </w:rPr>
        <w:t xml:space="preserve">a partir da assinatura </w:t>
      </w:r>
      <w:r>
        <w:rPr>
          <w:rFonts w:eastAsia="Times New Roman" w:cs="Arial" w:ascii="Verdana" w:hAnsi="Verdana"/>
          <w:bCs/>
          <w:iCs/>
          <w:color w:val="000000"/>
          <w:kern w:val="0"/>
          <w:sz w:val="20"/>
          <w:szCs w:val="20"/>
          <w:lang w:val="pt-BR" w:eastAsia="pt-BR" w:bidi="ar-SA"/>
        </w:rPr>
        <w:t>do Contrato</w:t>
      </w:r>
      <w:r>
        <w:rPr>
          <w:rFonts w:cs="Arial" w:ascii="Verdana" w:hAnsi="Verdana"/>
          <w:bCs/>
          <w:iCs/>
          <w:color w:val="000000"/>
          <w:sz w:val="20"/>
          <w:szCs w:val="20"/>
        </w:rPr>
        <w:t>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1.3.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O custo estimado total da contratação é de</w:t>
      </w:r>
      <w:r>
        <w:rPr>
          <w:rFonts w:eastAsia="Times New Roman" w:cs="Times New Roman" w:ascii="Verdana" w:hAnsi="Verdana"/>
          <w:i/>
          <w:iCs/>
          <w:color w:val="FF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R$ 79.543,30 (setenta e nove mil 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quinhentos e quarenta e três reais e trinta centavos),</w:t>
      </w:r>
      <w:r>
        <w:rPr>
          <w:rFonts w:eastAsia="Times New Roman" w:cs="Times New Roman" w:ascii="Verdana" w:hAnsi="Verdana"/>
          <w:i/>
          <w:iCs/>
          <w:color w:val="000000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  <w:shd w:fill="auto" w:val="clear"/>
        </w:rPr>
        <w:t>conforme custos unitários</w:t>
      </w:r>
      <w:r>
        <w:rPr>
          <w:rFonts w:eastAsia="Times New Roman" w:cs="Times New Roman" w:ascii="Verdana" w:hAnsi="Verdana"/>
          <w:bCs/>
          <w:iCs/>
          <w:color w:val="000000"/>
          <w:sz w:val="20"/>
          <w:szCs w:val="20"/>
          <w:shd w:fill="auto" w:val="clear"/>
        </w:rPr>
        <w:t xml:space="preserve"> apostos nos orç</w:t>
      </w:r>
      <w:r>
        <w:rPr>
          <w:rFonts w:eastAsia="Times New Roman" w:cs="Times New Roman" w:ascii="Verdana" w:hAnsi="Verdana"/>
          <w:bCs/>
          <w:iCs/>
          <w:color w:val="000000"/>
          <w:sz w:val="20"/>
          <w:szCs w:val="20"/>
        </w:rPr>
        <w:t>amentos e no quadro comparativo de preços simples em anexo.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DESCRIÇÃO DA NECESSIDADE DA CONTRATAÇÃO </w:t>
      </w:r>
    </w:p>
    <w:p>
      <w:pPr>
        <w:pStyle w:val="ListParagraph"/>
        <w:pageBreakBefore w:val="false"/>
        <w:widowControl/>
        <w:suppressAutoHyphens w:val="true"/>
        <w:overflowPunct w:val="true"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2.1. </w:t>
      </w:r>
      <w:bookmarkStart w:id="0" w:name="_Hlk170988156"/>
      <w:r>
        <w:rPr>
          <w:rFonts w:ascii="Verdana" w:hAnsi="Verdana"/>
          <w:sz w:val="20"/>
          <w:szCs w:val="20"/>
        </w:rPr>
        <w:t>A Fundamentação da Contratação e de seus quantitativos encontra-se pormenorizada em tópico específico dos Estudos Técnicos Preliminares, apêndice deste Termo de Referência.</w:t>
      </w:r>
      <w:bookmarkEnd w:id="0"/>
    </w:p>
    <w:p>
      <w:pPr>
        <w:pStyle w:val="ListParagraph"/>
        <w:widowControl/>
        <w:suppressAutoHyphens w:val="true"/>
        <w:overflowPunct w:val="true"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tabs>
          <w:tab w:val="clear" w:pos="708"/>
          <w:tab w:val="left" w:pos="335" w:leader="none"/>
        </w:tabs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 xml:space="preserve">3.1 </w:t>
      </w:r>
      <w:bookmarkStart w:id="1" w:name="_Ref121236534"/>
      <w:r>
        <w:rPr>
          <w:rFonts w:eastAsia="Arial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>A descrição da solução como um todo encontra-se pormenorizada em tópico específico dos Estudos Técnicos Preliminares, apêndice deste Termo de Referência.</w:t>
      </w:r>
      <w:bookmarkEnd w:id="1"/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ab/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4. REQUISITOS DA CONTRATAÇÃO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63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>4.1. Não haverá danos ao meio ambiente, uma vez que o serviço não gerará tal problema para a Administração Pública.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sz w:val="20"/>
          <w:szCs w:val="20"/>
        </w:rPr>
        <w:t>Apresentar os documentos de cobrança, inclusive Nota Fiscal, com a descrição dos serviços realizados.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</w:t>
      </w:r>
      <w:r>
        <w:rPr>
          <w:rFonts w:ascii="Verdana" w:hAnsi="Verdana"/>
          <w:b w:val="false"/>
          <w:bCs w:val="false"/>
          <w:sz w:val="20"/>
          <w:szCs w:val="20"/>
        </w:rPr>
        <w:t>.3. Assumir inteira responsabilidade civil, administrativa e penal por quaisquer danos e prejuízos, aos equipamentos ou pessoas, causados pela Contratada, seus empregados, ou prepostos ao Contratante ou a terceiros;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4.4. Obriga-se a Contratada, mediante solicitação do Contratante, a orçar previamente eventual execução de serviços não cobertos pelo objeto do Contrato;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4.5. Prover condições que possibilitem o atendimento dos serviços a partir da data da assinatura do contrato;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4.6. Manter durante a vigência do Contrato todas as condições de habilitação e qualificação exigidas pela legislação em vigor;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4.7. Ressarcir os eventuais prejuízos causados ao órgão e/ou a terceiros, provocados por ineficiência ou irregularidades cometidas por seus empregados ou prepostos na execução dos serviços contratados;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4.8. Permitir e facilitar aos fiscais da Prefeitura de São Gabriel da Palha a inspeção em qualquer dia e hora, prestando todos informes e esclarecimentos solicitados, relacionados com os serviços contratados;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4.9.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>
      <w:pPr>
        <w:pStyle w:val="Normal"/>
        <w:tabs>
          <w:tab w:val="clear" w:pos="708"/>
          <w:tab w:val="left" w:pos="142" w:leader="none"/>
        </w:tabs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4.10. Executar os serviços de acordo com a melhor técnica e nos padrões de segurança;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4.11.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Atender com plenitude as exigências contidas nas especificações do objeto do Contrato;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4.12. A empresa vencedora será a mesma para a prestação de serviços de aferição e manutenção de tacógrafos e fornecimento de peças para os mesmos, dessa forma, a reposição das peças para o perfeito funcionamento dos instrumentos será feito no mesmo momento da prestação de serviços, proporcionando economia para o Município.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4.13.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Será feito orçamento para todas as peças/serviços que poderão vir a ser utilizados, não ficando obrigada a contratante adquirir essas peças/serviços constantes no 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contrato</w:t>
      </w:r>
      <w:r>
        <w:rPr>
          <w:rFonts w:ascii="Verdana" w:hAnsi="Verdana"/>
          <w:b w:val="false"/>
          <w:bCs w:val="false"/>
          <w:sz w:val="20"/>
          <w:szCs w:val="20"/>
        </w:rPr>
        <w:t>, portanto será adquirido somente as peças necessárias ao perfeito funcionamento dos instrumentos de cronotacógrafos.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63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4.14. A contratada irá retirar a Nota fiscal das peças utilizadas para a manutenção dos tacógrafos, e somente estas serão liquidadas e pagas por esta Prefeitura, juntamente com os serviços executados.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3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4.15. A empresa prestadora de serviços será contratada por meio de </w:t>
      </w:r>
      <w:r>
        <w:rPr>
          <w:rFonts w:ascii="Verdana" w:hAnsi="Verdana"/>
          <w:b/>
          <w:bCs/>
          <w:sz w:val="20"/>
          <w:szCs w:val="20"/>
          <w:shd w:fill="auto" w:val="clear"/>
        </w:rPr>
        <w:t>licitação</w:t>
      </w:r>
      <w:r>
        <w:rPr>
          <w:rFonts w:ascii="Verdana" w:hAnsi="Verdana"/>
          <w:sz w:val="20"/>
          <w:szCs w:val="20"/>
          <w:shd w:fill="auto" w:val="clear"/>
        </w:rPr>
        <w:t xml:space="preserve">, sendo sagrado vencedor, o fornecedor que apresentar o menor valor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por lote</w:t>
      </w:r>
      <w:r>
        <w:rPr>
          <w:rFonts w:ascii="Verdana" w:hAnsi="Verdana"/>
          <w:sz w:val="20"/>
          <w:szCs w:val="20"/>
          <w:shd w:fill="auto" w:val="clear"/>
        </w:rPr>
        <w:t xml:space="preserve"> dos itens, isto é, do lote 01,  com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a prestação de serviços</w:t>
      </w:r>
      <w:r>
        <w:rPr>
          <w:rFonts w:ascii="Verdana" w:hAnsi="Verdana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de acordo com a solicitação da secretaria requisitante</w:t>
      </w:r>
      <w:r>
        <w:rPr>
          <w:rFonts w:ascii="Verdana" w:hAnsi="Verdana"/>
          <w:sz w:val="20"/>
          <w:szCs w:val="20"/>
          <w:shd w:fill="auto" w:val="clear"/>
        </w:rPr>
        <w:t>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13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4.15.1. A contratação por lote</w:t>
      </w:r>
      <w:r>
        <w:rPr>
          <w:rFonts w:eastAsia="Arial" w:cs="Times New Roman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Arial" w:cs="Times New Roman" w:ascii="Verdana" w:hAnsi="Verdana"/>
          <w:b w:val="false"/>
          <w:bCs w:val="false"/>
          <w:sz w:val="20"/>
          <w:szCs w:val="20"/>
          <w:shd w:fill="auto" w:val="clear"/>
        </w:rPr>
        <w:t>se torna economicamente viável que a prestação de serviços e reposição de peças sejam efetuadas pela mesma empresa, visto que, a administração terá economia de combustível, diárias e desgaste dos veículos, sendo assim mais vantajoso para o município que os serviços sejam executados de uma só vez.</w:t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4.16. A empresa fornecedora devera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realizar</w:t>
      </w:r>
      <w:r>
        <w:rPr>
          <w:rFonts w:ascii="Verdana" w:hAnsi="Verdana"/>
          <w:sz w:val="20"/>
          <w:szCs w:val="20"/>
          <w:shd w:fill="auto" w:val="clear"/>
        </w:rPr>
        <w:t xml:space="preserve"> o serviço conforme especificação co contrato e na autorização de fornecimento/execução.</w:t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4.17. </w:t>
      </w:r>
      <w:r>
        <w:rPr>
          <w:rFonts w:ascii="Verdana" w:hAnsi="Verdana"/>
          <w:sz w:val="20"/>
          <w:szCs w:val="20"/>
          <w:shd w:fill="auto" w:val="clear"/>
        </w:rPr>
        <w:t>Não será admitida a subcontratação do objeto contratual.</w:t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4.18.</w:t>
      </w:r>
      <w:r>
        <w:rPr>
          <w:rFonts w:ascii="Verdana" w:hAnsi="Verdana"/>
          <w:sz w:val="20"/>
          <w:szCs w:val="20"/>
          <w:shd w:fill="auto" w:val="clear"/>
        </w:rPr>
        <w:t xml:space="preserve"> Não haverá exigência da garantia da contratação dos arts. 96 e seguintes da Lei nº 14.133/21.</w:t>
      </w:r>
    </w:p>
    <w:p>
      <w:pPr>
        <w:pStyle w:val="ListParagraph"/>
        <w:widowControl/>
        <w:numPr>
          <w:ilvl w:val="0"/>
          <w:numId w:val="0"/>
        </w:numPr>
        <w:shd w:fill="FFFFFF"/>
        <w:suppressAutoHyphens w:val="false"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  <w:highlight w:val="none"/>
          <w:shd w:fill="FFFF00" w:val="clear"/>
        </w:rPr>
      </w:pPr>
      <w:r>
        <w:rPr>
          <w:rFonts w:ascii="Verdana" w:hAnsi="Verdana"/>
          <w:sz w:val="20"/>
          <w:szCs w:val="20"/>
          <w:shd w:fill="FFFF00" w:val="clear"/>
        </w:rPr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5. MODELO DE EXECUÇÃO CONTRATUAL 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 xml:space="preserve">5.1. O prazo de execução dos serviços será de 60 (sessenta) meses, de acordo com o contrato e a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autorização</w:t>
      </w:r>
      <w:r>
        <w:rPr>
          <w:rFonts w:ascii="Verdana" w:hAnsi="Verdana"/>
          <w:sz w:val="20"/>
          <w:szCs w:val="20"/>
          <w:shd w:fill="auto" w:val="clear"/>
        </w:rPr>
        <w:t xml:space="preserve"> de compras/execução emitida pelo Departamento de Compras e Contratos e seu respectivo prazo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de realização dos serviços</w:t>
      </w:r>
      <w:r>
        <w:rPr>
          <w:rFonts w:ascii="Verdana" w:hAnsi="Verdana"/>
          <w:sz w:val="20"/>
          <w:szCs w:val="20"/>
          <w:shd w:fill="auto" w:val="clear"/>
        </w:rPr>
        <w:t>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>5.2.</w:t>
      </w:r>
      <w:r>
        <w:rPr>
          <w:rFonts w:eastAsia="Arial" w:cs="Times New Roman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>A Secretaria de Educação assumirá os custos com o deslocamento dos veículos até o limite de 130 quilômetros de distância da cidade de São Gabriel da Palha. Acima dessa quilometragem a empresa deverá arcar com os custos de deslocamento dos veículos.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Cs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 xml:space="preserve">5.2.1 Responsável: </w:t>
      </w:r>
      <w:r>
        <w:rPr>
          <w:rFonts w:ascii="Verdana" w:hAnsi="Verdana"/>
          <w:sz w:val="20"/>
          <w:szCs w:val="20"/>
          <w:shd w:fill="auto" w:val="clear"/>
        </w:rPr>
        <w:t xml:space="preserve">Secretaria Municipal de </w:t>
      </w:r>
      <w:r>
        <w:rPr>
          <w:rFonts w:eastAsia="Times New Roman" w:cs="Times New Roman" w:ascii="Verdana" w:hAnsi="Verdana"/>
          <w:sz w:val="20"/>
          <w:szCs w:val="20"/>
          <w:shd w:fill="auto" w:val="clear"/>
        </w:rPr>
        <w:t>E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ducação</w:t>
      </w:r>
      <w:r>
        <w:rPr>
          <w:rFonts w:ascii="Verdana" w:hAnsi="Verdana"/>
          <w:sz w:val="20"/>
          <w:szCs w:val="20"/>
          <w:shd w:fill="auto" w:val="clear"/>
        </w:rPr>
        <w:t xml:space="preserve">, localizada no 2º andar da Sede desta Prefeitura, à </w:t>
      </w:r>
      <w:r>
        <w:rPr>
          <w:rFonts w:eastAsia="Times New Roman" w:cs="Liberation Serif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Praça Vicente Glazar, nº 159</w:t>
      </w:r>
      <w:r>
        <w:rPr>
          <w:rFonts w:cs="Liberation Serif" w:ascii="Verdana" w:hAnsi="Verdana"/>
          <w:sz w:val="20"/>
          <w:szCs w:val="20"/>
          <w:shd w:fill="auto" w:val="clear"/>
        </w:rPr>
        <w:t xml:space="preserve">, Bairro Glória, </w:t>
      </w:r>
      <w:r>
        <w:rPr>
          <w:rFonts w:ascii="Verdana" w:hAnsi="Verdana"/>
          <w:sz w:val="20"/>
          <w:szCs w:val="20"/>
          <w:shd w:fill="auto" w:val="clear"/>
        </w:rPr>
        <w:t>São Gabriel da Palha – ES, Cep.29.780-000.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  <w:szCs w:val="20"/>
          <w:shd w:fill="auto" w:val="clear"/>
        </w:rPr>
        <w:t xml:space="preserve">E-mail.: </w:t>
      </w:r>
      <w:hyperlink r:id="rId2">
        <w:r>
          <w:rPr>
            <w:rStyle w:val="Hyperlink"/>
            <w:rFonts w:ascii="Verdana" w:hAnsi="Verdana"/>
            <w:color w:val="000000"/>
            <w:sz w:val="20"/>
            <w:szCs w:val="20"/>
            <w:u w:val="none"/>
            <w:shd w:fill="auto" w:val="clear"/>
          </w:rPr>
          <w:t>transportesemedsgp</w:t>
        </w:r>
        <w:r>
          <w:rPr>
            <w:rStyle w:val="Hyperlink"/>
            <w:rFonts w:eastAsia="Times New Roman" w:cs="Times New Roman" w:ascii="Verdana" w:hAnsi="Verdana"/>
            <w:color w:val="000000"/>
            <w:kern w:val="0"/>
            <w:sz w:val="20"/>
            <w:szCs w:val="20"/>
            <w:u w:val="none"/>
            <w:shd w:fill="auto" w:val="clear"/>
            <w:lang w:val="pt-BR" w:eastAsia="pt-BR" w:bidi="ar-SA"/>
          </w:rPr>
          <w:t>@gmail.com</w:t>
        </w:r>
      </w:hyperlink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/>
      </w:pPr>
      <w:r>
        <w:rPr>
          <w:rStyle w:val="InternetLink"/>
          <w:rFonts w:eastAsia="Times New Roman" w:cs="Times New Roman" w:ascii="Verdana" w:hAnsi="Verdana"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 xml:space="preserve">Telefone: (27) </w:t>
      </w:r>
      <w:r>
        <w:rPr>
          <w:rStyle w:val="InternetLink"/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pt-BR" w:bidi="ar-SA"/>
        </w:rPr>
        <w:t xml:space="preserve"> </w:t>
      </w:r>
      <w:r>
        <w:rPr>
          <w:rStyle w:val="InternetLink"/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>99752-5596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5.3. A empresa deverá responsabilizar-se pelos veículos entregues para a realização do serviço, assumindo total responsabilidade por quaisquer danos ou prejuízos causados ao veículo ou a terceiros, enquanto o veículo estiver sob sua guarda.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5.4.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O recebimento provisório ou definitivo do objeto não exclui a responsabilidade da contratada pelos prejuízos resultantes da incorreta execução do contrato.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5.5. O contrato deverá ser executado fielmente pelas partes, de acordo com as cláusulas avençadas e as normas da Lei nº 14.133, de 2021, e cada parte responderá pelas consequências de sua inexecução total ou parcial.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5.6. As comunicações entre o órgão ou entidade e a contratada devem ser realizadas por escrito sempre que o ato exigir tal formalidade, admitindo-se o uso de mensagem eletrônica para esse fim.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5.7. O órgão ou entidade poderá convocar representante da empresa para adoção de Providências que devam ser cumpridas de imediato.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5.8.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Os veículos </w:t>
      </w:r>
      <w:r>
        <w:rPr>
          <w:rFonts w:eastAsia="Calibri" w:cs="Times New Roman" w:ascii="Verdana" w:hAnsi="Verdana"/>
          <w:bCs/>
          <w:color w:val="auto"/>
          <w:kern w:val="0"/>
          <w:sz w:val="20"/>
          <w:szCs w:val="20"/>
          <w:lang w:val="pt-BR" w:eastAsia="en-US" w:bidi="ar-SA"/>
        </w:rPr>
        <w:t>(após a execução do serviço/troca de peças)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serão recebidos pelo(a) responsável pelo acompanhamento e fiscalização, para efeito de posterior verificação de sua conformidade com as especificações constantes no Contrato e neste Termo de Referência e na proposta.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5.9.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A conferência/fiscalização deverá ser acompanhada por um servidor </w:t>
      </w:r>
      <w:r>
        <w:rPr>
          <w:rFonts w:eastAsia="Times New Roman" w:cs="Times New Roman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da secretaria requisitante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, a fim de zelar pela qualidade e quantidade dos itens a serem adquiridos.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>6. OBRIGAÇÕES DA CONTRATANTE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6.1. Constituem obrigações da Contratante, além de outras previstas no Contrato, Termo de Referência, no Edital e seus anexos: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6.2.  Contratar o serviço no prazo e condições estabelecidas no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6.3.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Verificar a conformidade dos serviços prestados de acordo com as especificações constantes no Contrato, Termo de Referência,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6.4.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Comunicar a Contratada, por escrito, sobre imperfeições, falhas ou irregularidades verificadas no objeto contratado, para que tome as providências cabíveis.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6.5.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Acompanhar e fiscalizar o cumprimento das obrigações da Contratada.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6.6.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Efetuar o pagamento à Contratada no valor correspondente à prestação do objeto, no prazo e forma estabelecidos no Edital e seus anexo. 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6.7.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 w:eastAsia="Times New Roman" w:cs="Arial"/>
          <w:b w:val="false"/>
          <w:bCs w:val="false"/>
          <w:i w:val="false"/>
          <w:i w:val="false"/>
          <w:iCs w:val="false"/>
          <w:color w:val="000000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>7. OBRIGAÇÕES DA CONTRATADA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7.1. A Contratada deve cumprir todas as obrigações constantes no Contrato, neste Termo de Referência, seus anexos e sua proposta, assumindo como exclusivamente seus os riscos e as despesas decorrentes da boa e perfeita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7.2. Efetuar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o serviço/troca de peça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, conforme especificações, prazo e local constantes no Contrato, Termo de Referência e seus anexos, acompanhado da respectiva nota fiscal.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7.4. Substituir, reparar ou corrigir, às suas expensas, no prazo fixado neste Termo de Referência, o objeto com avarias ou defeitos.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Comunicar à Contratante, no prazo máximo de 05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(cinco) dias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 que antecede a data da entrega, os motivos que impossibilitem o cumprimento do prazo previsto, com a devida comprovação.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Manter, durante toda a execução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do contrato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7.7.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Indicar preposto para representá-la durante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o Contrato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4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7.9. Durante a execução do Contrato, a CONTRATADA deverá:</w:t>
      </w:r>
      <w:r>
        <w:rPr>
          <w:rFonts w:ascii="Verdana" w:hAnsi="Verdana"/>
          <w:b w:val="false"/>
          <w:bCs w:val="false"/>
          <w:sz w:val="20"/>
          <w:szCs w:val="20"/>
        </w:rPr>
        <w:br/>
        <w:t>7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da secretaria requisitante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nas quantidades e especificações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do Contrato e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7.9.2.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b/>
          <w:bCs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8. CRITÉRIOS DE PAGAMENTO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8.1.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21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21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21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21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O prazo de validade;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A data da emissão;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Os dados do contrato e do órgão contratante;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período respectivo de execução do contrato;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valor a pagar; e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8.5.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8.6. O pagamento será efetuado no prazo de até 30 (trinta) dias úteis contados da finalização da liquidação da despesa.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8.7. O pagamento será realizado por meio de ordem bancária, para crédito em banco, agência e conta corrente indicados pelo contratado.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8.8. Será considerada data do pagamento o dia em que constar como emitida a ordem bancária para pagamento.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89. Quando do pagamento, será efetuada a retenção tributária prevista na legislação aplicável.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8.10. O contratado regularmente optante pelo Simples Nacional, nos termos da </w:t>
      </w:r>
      <w:hyperlink r:id="rId3">
        <w:r>
          <w:rPr>
            <w:rStyle w:val="ListLabel22"/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8.11.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cs="Calibri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8.11.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VM = VF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u w:val="single"/>
          <w:shd w:fill="auto" w:val="clear"/>
        </w:rPr>
        <w:t>0,33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b w:val="false"/>
          <w:bCs w:val="false"/>
          <w:sz w:val="20"/>
          <w:szCs w:val="20"/>
          <w:shd w:fill="auto" w:val="clear"/>
        </w:rPr>
        <w:t xml:space="preserve">       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>100</w:t>
      </w:r>
    </w:p>
    <w:p>
      <w:pPr>
        <w:pStyle w:val="Normal"/>
        <w:suppressAutoHyphens w:val="false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Onde: </w:t>
      </w:r>
    </w:p>
    <w:p>
      <w:pPr>
        <w:pStyle w:val="Normal"/>
        <w:suppressAutoHyphens w:val="false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 xml:space="preserve">VM = Valor da Multa Financeira; </w:t>
      </w:r>
    </w:p>
    <w:p>
      <w:pPr>
        <w:pStyle w:val="Normal"/>
        <w:suppressAutoHyphens w:val="false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color w:val="000000"/>
          <w:sz w:val="20"/>
          <w:szCs w:val="20"/>
          <w:shd w:fill="auto" w:val="clear"/>
        </w:rPr>
        <w:t>ND = Número de dias em atraso.</w:t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8.12..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8.13.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8.14.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 CONTRATANTE poderá deduzir do pagamento importâncias que a qualquer título lhe forem devidos pela empresa CONTRATADA, em decorrência de descumprimento de s</w:t>
      </w: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>uas obrigações.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8.15.</w:t>
      </w:r>
      <w:r>
        <w:rPr>
          <w:rFonts w:eastAsia="Times New Roman" w:cs="Arial;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;Arial" w:ascii="Verdana" w:hAnsi="Verdana"/>
          <w:sz w:val="20"/>
          <w:szCs w:val="20"/>
          <w:shd w:fill="auto" w:val="clear"/>
          <w:lang w:eastAsia="en-US"/>
        </w:rPr>
        <w:t xml:space="preserve">Para a efetivação do pagamento, a CONTRATADA deverá manter as mesmas </w:t>
      </w:r>
      <w:r>
        <w:rPr>
          <w:rFonts w:cs="Arial;Arial" w:ascii="Verdana" w:hAnsi="Verdana"/>
          <w:sz w:val="20"/>
          <w:szCs w:val="20"/>
          <w:shd w:fill="auto" w:val="clear"/>
          <w:lang w:eastAsia="pt-BR"/>
        </w:rPr>
        <w:t>condições relativas à proposta de preço e a habilitação;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9. DAS SANÇÕES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9.1.1. Dar causa à inexecução parcial do contrato.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9.1.3. Dar causa à inexecução total;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9.1.4. Deixar de entregar a documentação exigida para o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9.1.5. Não manter a proposta, salvo em decorrência de fato superveniente devidamente justificado.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9.1.6.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9.1.7. Ensejar o retardamento da execução ou da entrega do objeto sem motivo justificado,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9.1.9. Fraudar a dispensa eletrônica ou praticar ato fraudulento na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9.1.10. Comportar-se de modo inidôneo ou cometer fraude de qualquer natureza.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9.1.11. Praticar atos ilícitos com vistas a frustrar os objetivos deste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9.1.12. Praticar ato lesivo previsto no art. 5º da Lei nº 12.846, de 1º de agosto de 2013.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9.2.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</w: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a)</w:t>
      </w:r>
      <w:r>
        <w:rPr>
          <w:rFonts w:ascii="Verdana" w:hAnsi="Verdana"/>
          <w:iCs/>
          <w:sz w:val="20"/>
          <w:szCs w:val="20"/>
          <w:shd w:fill="auto" w:val="clear"/>
        </w:rPr>
        <w:t xml:space="preserve"> Advertência pela falta do subitem 9.1.1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</w: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b)</w:t>
      </w:r>
      <w:r>
        <w:rPr>
          <w:rFonts w:ascii="Verdana" w:hAnsi="Verdana"/>
          <w:iCs/>
          <w:sz w:val="20"/>
          <w:szCs w:val="20"/>
          <w:shd w:fill="auto" w:val="clear"/>
        </w:rPr>
        <w:t xml:space="preserve"> Multa, calculada na forma do edital, com base no total do valor da contratação realizada de forma direta e será aplicada ao responsável por qualquer das infrações administrativas previstas no item 9.1 deste Termo de Referência, no percentual de 10% (dez por cento), na hipótese de cometimento das infrações previstas nos itens 9.1.1 a 9.1.7 e 20% (vinte por cento), se cometidas infrações previstas nos itens 9.1.8 a 9.1.12; 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  <w:tab/>
      </w:r>
      <w:r>
        <w:rPr>
          <w:rFonts w:ascii="Verdana" w:hAnsi="Verdana"/>
          <w:b/>
          <w:bCs/>
          <w:i/>
          <w:iCs/>
          <w:sz w:val="20"/>
          <w:szCs w:val="20"/>
          <w:shd w:fill="auto" w:val="clear"/>
        </w:rPr>
        <w:t>b.1)</w:t>
      </w:r>
      <w:r>
        <w:rPr>
          <w:rFonts w:ascii="Verdana" w:hAnsi="Verdana"/>
          <w:iCs/>
          <w:sz w:val="20"/>
          <w:szCs w:val="20"/>
          <w:shd w:fill="auto" w:val="clear"/>
        </w:rPr>
        <w:t xml:space="preserve"> O valor da multa poderá ser descontado das faturas devidas à CONTRATADA;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  <w:tab/>
      </w:r>
      <w:r>
        <w:rPr>
          <w:rFonts w:ascii="Verdana" w:hAnsi="Verdana"/>
          <w:b/>
          <w:bCs/>
          <w:i/>
          <w:iCs/>
          <w:sz w:val="20"/>
          <w:szCs w:val="20"/>
          <w:shd w:fill="auto" w:val="clear"/>
        </w:rPr>
        <w:t>b.2)</w:t>
      </w:r>
      <w:r>
        <w:rPr>
          <w:rFonts w:ascii="Verdana" w:hAnsi="Verdana"/>
          <w:iCs/>
          <w:sz w:val="20"/>
          <w:szCs w:val="20"/>
          <w:shd w:fill="auto" w:val="clear"/>
        </w:rPr>
        <w:t xml:space="preserve"> A multa pode ser aplicada isoladamente ou juntamente com as penalidades definidas nos itens “c” e “d” abaixo: 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</w: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c)</w:t>
      </w:r>
      <w:r>
        <w:rPr>
          <w:rFonts w:ascii="Verdana" w:hAnsi="Verdana"/>
          <w:iCs/>
          <w:sz w:val="20"/>
          <w:szCs w:val="20"/>
          <w:shd w:fill="auto" w:val="clear"/>
        </w:rPr>
        <w:t xml:space="preserve">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ab/>
      </w: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d)</w:t>
      </w:r>
      <w:r>
        <w:rPr>
          <w:rFonts w:ascii="Verdana" w:hAnsi="Verdana"/>
          <w:iCs/>
          <w:sz w:val="20"/>
          <w:szCs w:val="20"/>
          <w:shd w:fill="auto" w:val="clear"/>
        </w:rPr>
        <w:t xml:space="preserve">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9.1.2 a 9.1.12, deste Termo de Referência.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 Na aplicação das sanções serão considerados: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9.3.1. A natureza e a gravidade da infração cometida.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9.3.2. As peculiaridades do caso concreto.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9.3.3. As circunstâncias agravantes ou atenuantes.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9.3.4. Os danos que dela provierem para a Administração Pública.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9.3.5. A implantação ou o aperfeiçoamento de programa de integridade, conforme normas e orientações dos órgãos de controle.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10. DA HABILITAÇÃO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4">
        <w:r>
          <w:rPr>
            <w:rStyle w:val="ListLabel23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5">
        <w:r>
          <w:rPr>
            <w:rStyle w:val="ListLabel23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57" w:after="57"/>
        <w:ind w:hanging="0" w:lef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6">
        <w:r>
          <w:rPr>
            <w:rStyle w:val="ListLabel24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76" w:before="57" w:after="57"/>
        <w:ind w:hanging="0" w:lef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7">
        <w:r>
          <w:rPr>
            <w:rStyle w:val="ListLabel23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102.1.2.3. O licitante será convocado para manifestação previamente à sua desclassificação.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10.1.3 .Constatada a existência de sanção, o Pregoeiro reputará o licitante inabilitado, por falta de condição de participação.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10.2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10.2.3 O descu</w:t>
      </w:r>
      <w:r>
        <w:rPr>
          <w:rFonts w:cs="Verdana" w:ascii="Verdana" w:hAnsi="Verdana"/>
          <w:color w:val="000000"/>
          <w:sz w:val="20"/>
          <w:szCs w:val="20"/>
        </w:rPr>
        <w:t>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10.5 Não serão aceitos documentos de habilitação com indicação de CNPJ/CPF diferentes, salvo aqueles legalmente permitidos.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10.7</w:t>
      </w:r>
      <w:r>
        <w:rPr>
          <w:rFonts w:cs="Verdana" w:ascii="Verdana" w:hAnsi="Verdana"/>
          <w:color w:val="000000"/>
          <w:sz w:val="20"/>
          <w:szCs w:val="20"/>
        </w:rPr>
        <w:t xml:space="preserve"> Ressalvado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10.8 Habilitação jurídica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8">
        <w:r>
          <w:rPr>
            <w:rStyle w:val="ListLabel25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10.8.6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cs="Verdana" w:ascii="Verdana" w:hAnsi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10.8.7 No caso de empresa ou sociedade estrangeira em funcionamento no País: decreto de autorização;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10.8.8 Os documentos acima deverão estar acompanhados de todas as alterações ou da c</w:t>
      </w:r>
      <w:r>
        <w:rPr>
          <w:rFonts w:cs="Verdana" w:ascii="Verdana" w:hAnsi="Verdana"/>
          <w:bCs/>
          <w:color w:val="000000"/>
          <w:sz w:val="20"/>
          <w:szCs w:val="20"/>
        </w:rPr>
        <w:t>onsolidação respectiva;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10.9.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10.9.1 Prova de inscrição no Cadastro Nacional de Pessoas Jurídicas ou no Cadastro de Pessoas Físicas, conforme o caso;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10.9.2 Certidão de regularidade junto à fazenda pública Municipal, do domicílio do Licitante;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10.9.3 Certidão de regularidade junto à fazenda pública Estadual, do domicílio do Licitante;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10.9.5 Certidão de regularidade junto ao FGTS;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10.9.6 Certidão Negativa De Débitos Trabalhistas (CNDT) de acordo com a Lei 12440 de 7 de julho de 2011.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10.9.7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 compr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ovação de regularidade fiscal, mesmo que esta apresente alguma restrição,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10.10 Qualificação Econômico-Financeira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10.10.1 Certidão negativa de falência, recuperação judicial e extrajudicial, expedida pelo cartório distribuidor da sede da Licitante ou por meio digital, emitida em até 30 (trinta) dias anteriores à data de abertura da 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10.10.2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u w:val="none"/>
        </w:rPr>
        <w:t>10.10.3 Para a contagem do prazo estabelecido na letra “a” deste capítulo, será contado a partir do primeiro dia que antecede a data da realização desta 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u w:val="none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 w:cs="Verdana"/>
          <w:b w:val="false"/>
          <w:bCs w:val="false"/>
          <w:iCs/>
          <w:color w:val="000000"/>
          <w:sz w:val="20"/>
          <w:szCs w:val="20"/>
          <w:u w:val="none"/>
          <w:lang w:eastAsia="en-US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u w:val="none"/>
          <w:lang w:eastAsia="en-US"/>
        </w:rPr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 CONTRATAÇÕES CORRELATAS E/OU INTERDEPENDENTES</w:t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11.1.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12.1 C</w:t>
      </w:r>
      <w:r>
        <w:rPr>
          <w:rFonts w:cs="Arial" w:ascii="Verdana" w:hAnsi="Verdana"/>
          <w:sz w:val="20"/>
          <w:szCs w:val="20"/>
        </w:rPr>
        <w:t xml:space="preserve">om a aquisição pretendida, buscaremos suprir as necessidades da Secretaria Municipal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Educação e atender de forma mais adequada os estudantes da Rede Municipal e Estadual de Ensino.</w:t>
      </w:r>
      <w:r>
        <w:rPr>
          <w:rFonts w:cs="Arial" w:ascii="Verdana" w:hAnsi="Verdana"/>
          <w:sz w:val="20"/>
          <w:szCs w:val="20"/>
        </w:rPr>
        <w:t xml:space="preserve"> O quantitativo será suficiente para suprir a demanda desta Secretaria.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13.1 Recursos materiais e humanos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13.1.1. Além da Equipe de Gestão do Contrato, as Secretarias envolvidas disponibilizarão recursos materiais e humanos, para acompanhamento dos contratos e da prestação dos serviços pela contratada.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13.2. As se</w:t>
      </w:r>
      <w:r>
        <w:rPr>
          <w:rFonts w:cs="Arial" w:ascii="Verdana" w:hAnsi="Verdana"/>
          <w:sz w:val="20"/>
          <w:szCs w:val="20"/>
        </w:rPr>
        <w:t xml:space="preserve">cretarias envolvidas na contratação deverão acompanhar, fiscalizar, comprovar e relatar, por escrito, as eventuais irregularidades na execução dos serviços, através dos Fiscais de Contrato </w:t>
      </w:r>
      <w:r>
        <w:rPr>
          <w:rFonts w:cs="Times New Roman" w:ascii="Verdana" w:hAnsi="Verdana"/>
          <w:sz w:val="20"/>
          <w:szCs w:val="20"/>
        </w:rPr>
        <w:t>(Técnicos e Administrativos)</w:t>
      </w:r>
      <w:r>
        <w:rPr>
          <w:rFonts w:cs="Arial" w:ascii="Verdana" w:hAnsi="Verdana"/>
          <w:sz w:val="20"/>
          <w:szCs w:val="20"/>
        </w:rPr>
        <w:t>. Deveram ser nomeados quantidade de fiscais suficientes para um efetivo acompanhamento da execução do contrato, devendo ter Fiscal Técnico e Fiscal Administrativo (contrato).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13.3</w:t>
      </w:r>
      <w:r>
        <w:rPr>
          <w:rFonts w:cs="Arial" w:ascii="Verdana" w:hAnsi="Verdana"/>
          <w:b/>
          <w:sz w:val="20"/>
          <w:szCs w:val="20"/>
        </w:rPr>
        <w:t xml:space="preserve"> Descontinuidades do Fornecimento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13.3.1. N</w:t>
      </w:r>
      <w:r>
        <w:rPr>
          <w:rFonts w:cs="Arial" w:ascii="Verdana" w:hAnsi="Verdana"/>
          <w:sz w:val="20"/>
          <w:szCs w:val="20"/>
        </w:rPr>
        <w:t xml:space="preserve">o caso de descontinuidade e/ou paralisação, o gestor do contrato tomará as providências cabíveis, de acordo com cláusulas do edital e contrato, visando sanar problemas por ventura ocorridos. 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14.1. Não haverá danos ao meio ambiente uma vez que os serviços não gerará tal problema</w:t>
      </w:r>
      <w:r>
        <w:rPr>
          <w:rFonts w:cs="Arial" w:ascii="Verdana" w:hAnsi="Verdana"/>
          <w:b/>
          <w:sz w:val="20"/>
          <w:szCs w:val="20"/>
        </w:rPr>
        <w:t>.</w:t>
      </w:r>
      <w:r>
        <w:rPr>
          <w:rFonts w:cs="Arial" w:ascii="Verdana" w:hAnsi="Verdana"/>
          <w:sz w:val="20"/>
          <w:szCs w:val="20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DECLARAÇÕES DE VIABILIDADE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15.1. A equipe de planejamento deste ETP e de acordo com a autoridade deste requerente, declara viável esta contratação.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JUSTIFICATIVAS DA VIABILIDADE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16.1.O</w:t>
      </w:r>
      <w:r>
        <w:rPr>
          <w:rFonts w:cs="Times New Roman" w:ascii="Verdana" w:hAnsi="Verdana"/>
          <w:b w:val="false"/>
          <w:bCs w:val="false"/>
          <w:sz w:val="20"/>
          <w:szCs w:val="20"/>
        </w:rPr>
        <w:t xml:space="preserve"> Cronotacógrafo é um instrumento de uso obrigatório pelo Código de Trânsito Brasileiro – CTB para veículos de transporte e de condução escolar, transporte de passageiros com mais de dez lugares e os de carga com peso bruto total superior a 4.536 toneladas;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/>
          <w:color w:val="000000"/>
          <w:kern w:val="0"/>
          <w:sz w:val="20"/>
          <w:szCs w:val="20"/>
          <w:lang w:val="pt-BR" w:eastAsia="zh-CN" w:bidi="ar-SA"/>
        </w:rPr>
        <w:t>16.2. Esse instrumento tem o objetivo de indicar e registrar a velocidade e a distância percorrida no tempo de direção no veículo em que está instalado, permitindo determinar o tempo de direção e de parada dos condutores, e, além disso, permite a reconstituição e a elaboração de laudos técnicos em caso de acidente com produção de provas aceitas legalmente;</w:t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17. ADEQUAÇÃO ORÇAMENTÁRIA </w:t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17.1. As despesas decorrentes da presente contratação correrão à conta de recursos específicos consignados no Lei Orçamentária Anual, bem como requisição do sistema presente nos autos, sendo a contratação atendida pelas seguintes dotações:</w:t>
      </w:r>
    </w:p>
    <w:p>
      <w:pPr>
        <w:pStyle w:val="Normal"/>
        <w:numPr>
          <w:ilvl w:val="0"/>
          <w:numId w:val="1"/>
        </w:numPr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FICHA – FONTE: 00600-15760000000001 no valor de R$ 37.146,10 (trinta e sete mil cento e quarenta e seis reais e dez centavos) e</w:t>
      </w:r>
    </w:p>
    <w:p>
      <w:pPr>
        <w:pStyle w:val="Normal"/>
        <w:numPr>
          <w:ilvl w:val="0"/>
          <w:numId w:val="1"/>
        </w:numPr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FICHA – FONTE: 00601-1576000000001 no valor de R$ 42.397,20 (quarenta e dois mil trezentos e noventa e sete reais e vinte centavos).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Totalizando o valor de R$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R$ 79.543,30 (setenta e nove mil quinhentos e três reais e trinta centavos).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18. DOS RESPONSÁVEIS PELA ELABORAÇÃO DO TERMO DE REFERÊNCIA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18.1.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>A compilação das informações mencionados na elaboração deste Termo de Referência foram estruturadas/fundamentado no estudo técnico preliminar que concluiu pela viabilidade da contratação, em anexo nos autos e  elaborado pela secretaria requisitante.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>São Gabriel da Palha, 05 de agosto de 2025</w:t>
      </w:r>
    </w:p>
    <w:p>
      <w:pPr>
        <w:pStyle w:val="Normal"/>
        <w:spacing w:lineRule="auto" w:line="276" w:before="57" w:after="57"/>
        <w:ind w:hanging="0" w:left="0"/>
        <w:jc w:val="right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bookmarkStart w:id="2" w:name="_GoBack1"/>
      <w:bookmarkStart w:id="3" w:name="_GoBack"/>
      <w:bookmarkEnd w:id="2"/>
      <w:bookmarkEnd w:id="3"/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76" w:before="57" w:after="57"/>
        <w:ind w:hanging="0" w:lef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Agente de Serviços Técnicos – Portaria n° 9.965/2025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000406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002983</w:t>
      </w:r>
      <w:bookmarkStart w:id="4" w:name="_Hlk1575167001"/>
      <w:bookmarkStart w:id="5" w:name="art122%252525252525252525252525252525252"/>
      <w:bookmarkStart w:id="6" w:name="art122%252525252525252525252525252525251"/>
      <w:bookmarkStart w:id="7" w:name="art122%252525252525252525252525252525253"/>
      <w:bookmarkStart w:id="8" w:name="art122%252525252525252525252525252525254"/>
      <w:bookmarkStart w:id="9" w:name="art122%252525252525252525252525252525255"/>
      <w:bookmarkEnd w:id="4"/>
      <w:bookmarkEnd w:id="5"/>
      <w:bookmarkEnd w:id="6"/>
      <w:bookmarkEnd w:id="7"/>
      <w:bookmarkEnd w:id="8"/>
      <w:bookmarkEnd w:id="9"/>
    </w:p>
    <w:p>
      <w:pPr>
        <w:pStyle w:val="Normal"/>
        <w:spacing w:lineRule="auto" w:line="276" w:before="57" w:after="57"/>
        <w:ind w:hanging="0" w:left="0"/>
        <w:jc w:val="both"/>
        <w:rPr>
          <w:rFonts w:ascii="Verdana" w:hAnsi="Verdana" w:cs="Arial"/>
          <w:b w:val="false"/>
          <w:bCs w:val="false"/>
          <w:strike w:val="false"/>
          <w:dstrike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strike w:val="false"/>
          <w:dstrike w:val="false"/>
          <w:color w:val="000000"/>
          <w:sz w:val="20"/>
          <w:szCs w:val="20"/>
          <w:u w:val="none"/>
        </w:rPr>
      </w:r>
    </w:p>
    <w:sectPr>
      <w:headerReference w:type="even" r:id="rId9"/>
      <w:headerReference w:type="default" r:id="rId10"/>
      <w:headerReference w:type="first" r:id="rId11"/>
      <w:footerReference w:type="even" r:id="rId12"/>
      <w:footerReference w:type="default" r:id="rId13"/>
      <w:footerReference w:type="first" r:id="rId14"/>
      <w:type w:val="nextPage"/>
      <w:pgSz w:w="11906" w:h="16838"/>
      <w:pgMar w:left="1517" w:right="905" w:gutter="0" w:header="227" w:top="851" w:footer="444" w:bottom="832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Courier New">
    <w:charset w:val="00"/>
    <w:family w:val="roman"/>
    <w:pitch w:val="variable"/>
  </w:font>
  <w:font w:name="Verdana">
    <w:charset w:val="00"/>
    <w:family w:val="roman"/>
    <w:pitch w:val="variable"/>
  </w:font>
  <w:font w:name="Verdana">
    <w:charset w:val="01"/>
    <w:family w:val="swiss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lineRule="auto" w:line="360" w:before="240" w:after="240"/>
      <w:jc w:val="both"/>
    </w:pPr>
    <w:rPr>
      <w:b/>
    </w:rPr>
  </w:style>
  <w:style w:type="paragraph" w:styleId="Heading3">
    <w:name w:val="Heading 3"/>
    <w:basedOn w:val="LO-normal"/>
    <w:next w:val="LO-normal"/>
    <w:qFormat/>
    <w:pPr>
      <w:keepNext w:val="true"/>
      <w:keepLines/>
    </w:pPr>
    <w:rPr>
      <w:i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InternetLink">
    <w:name w:val="Internet Link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WW8Num9z0">
    <w:name w:val="WW8Num9z0"/>
    <w:qFormat/>
    <w:rPr>
      <w:b/>
      <w:bCs/>
    </w:rPr>
  </w:style>
  <w:style w:type="character" w:styleId="WW8Num10z0">
    <w:name w:val="WW8Num10z0"/>
    <w:qFormat/>
    <w:rPr>
      <w:b/>
      <w:bCs/>
    </w:rPr>
  </w:style>
  <w:style w:type="character" w:styleId="Hyperlink1">
    <w:name w:val="Hyperlink1"/>
    <w:qFormat/>
    <w:rPr>
      <w:color w:val="000080"/>
      <w:u w:val="single"/>
    </w:rPr>
  </w:style>
  <w:style w:type="character" w:styleId="WW8Num2z0">
    <w:name w:val="WW8Num2z0"/>
    <w:qFormat/>
    <w:rPr>
      <w:rFonts w:ascii="Arial" w:hAnsi="Arial" w:eastAsia="Batang" w:cs="Arial"/>
      <w:b/>
      <w:i w:val="false"/>
      <w:sz w:val="24"/>
      <w:szCs w:val="24"/>
      <w:u w:val="none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fals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360" w:before="240" w:after="240"/>
      <w:jc w:val="both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sz w:val="20"/>
    </w:rPr>
  </w:style>
  <w:style w:type="paragraph" w:styleId="Contedodoquadro">
    <w:name w:val="Conteúdo do quadro"/>
    <w:basedOn w:val="Normal"/>
    <w:qFormat/>
    <w:pPr/>
    <w:rPr/>
  </w:style>
  <w:style w:type="paragraph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Semlista">
    <w:name w:val="Sem lista"/>
    <w:qFormat/>
  </w:style>
  <w:style w:type="numbering" w:styleId="WW8Num10">
    <w:name w:val="WW8Num10"/>
    <w:qFormat/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ransportesemedsgp@gmail.com" TargetMode="External"/><Relationship Id="rId3" Type="http://schemas.openxmlformats.org/officeDocument/2006/relationships/hyperlink" Target="https://www.planalto.gov.br/ccivil_03/leis/lcp/lcp123.htm" TargetMode="External"/><Relationship Id="rId4" Type="http://schemas.openxmlformats.org/officeDocument/2006/relationships/hyperlink" Target="http://www.portaldatransparencia.gov.br/ceis" TargetMode="External"/><Relationship Id="rId5" Type="http://schemas.openxmlformats.org/officeDocument/2006/relationships/hyperlink" Target="http://www.cnj.jus.br/improbidade_adm/consultar_requerido.php" TargetMode="External"/><Relationship Id="rId6" Type="http://schemas.openxmlformats.org/officeDocument/2006/relationships/hyperlink" Target="https://www.tcees.tc.br/portal-da-transparencia/consultas/lista-de" TargetMode="External"/><Relationship Id="rId7" Type="http://schemas.openxmlformats.org/officeDocument/2006/relationships/hyperlink" Target="https://certidoesapf.apps.tcu.gov.br/" TargetMode="External"/><Relationship Id="rId8" Type="http://schemas.openxmlformats.org/officeDocument/2006/relationships/hyperlink" Target="http://www.portaldoempreendedor.gov.br/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oter" Target="footer3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Application>LibreOffice/24.2.6.2$Windows_X86_64 LibreOffice_project/ef66aa7e36a1bb8e65bfbc63aba53045a14d0871</Application>
  <AppVersion>15.0000</AppVersion>
  <Pages>11</Pages>
  <Words>4683</Words>
  <Characters>26581</Characters>
  <CharactersWithSpaces>30976</CharactersWithSpaces>
  <Paragraphs>351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2025-08-04T15:21:14Z</cp:lastPrinted>
  <dcterms:modified xsi:type="dcterms:W3CDTF">2025-08-26T13:11:42Z</dcterms:modified>
  <cp:revision>151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